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D3D1D" w14:textId="77777777" w:rsidR="00745A4F" w:rsidRDefault="00DE1506">
      <w:r>
        <w:t xml:space="preserve">    </w:t>
      </w:r>
      <w:r>
        <w:rPr>
          <w:noProof/>
        </w:rPr>
        <mc:AlternateContent>
          <mc:Choice Requires="wps">
            <w:drawing>
              <wp:anchor distT="0" distB="0" distL="114300" distR="114300" simplePos="0" relativeHeight="251658240" behindDoc="0" locked="0" layoutInCell="1" hidden="0" allowOverlap="1" wp14:anchorId="02A87D08" wp14:editId="07777777">
                <wp:simplePos x="0" y="0"/>
                <wp:positionH relativeFrom="margin">
                  <wp:posOffset>4978400</wp:posOffset>
                </wp:positionH>
                <wp:positionV relativeFrom="paragraph">
                  <wp:posOffset>63500</wp:posOffset>
                </wp:positionV>
                <wp:extent cx="2336800" cy="1066800"/>
                <wp:effectExtent l="0" t="0" r="0" b="0"/>
                <wp:wrapNone/>
                <wp:docPr id="2" name="Rectangle 2"/>
                <wp:cNvGraphicFramePr/>
                <a:graphic xmlns:a="http://schemas.openxmlformats.org/drawingml/2006/main">
                  <a:graphicData uri="http://schemas.microsoft.com/office/word/2010/wordprocessingShape">
                    <wps:wsp>
                      <wps:cNvSpPr/>
                      <wps:spPr>
                        <a:xfrm>
                          <a:off x="4177600" y="3245331"/>
                          <a:ext cx="2336800" cy="1069338"/>
                        </a:xfrm>
                        <a:prstGeom prst="rect">
                          <a:avLst/>
                        </a:prstGeom>
                        <a:solidFill>
                          <a:srgbClr val="FFFFFF"/>
                        </a:solidFill>
                        <a:ln>
                          <a:noFill/>
                        </a:ln>
                      </wps:spPr>
                      <wps:txbx>
                        <w:txbxContent>
                          <w:p w14:paraId="51D8D93C" w14:textId="77777777" w:rsidR="00745A4F" w:rsidRDefault="00DE1506">
                            <w:pPr>
                              <w:jc w:val="right"/>
                              <w:textDirection w:val="btLr"/>
                            </w:pPr>
                            <w:r>
                              <w:rPr>
                                <w:rFonts w:ascii="Century" w:eastAsia="Century" w:hAnsi="Century" w:cs="Century"/>
                                <w:sz w:val="22"/>
                              </w:rPr>
                              <w:t>4487 Irving Blvd NW</w:t>
                            </w:r>
                          </w:p>
                          <w:p w14:paraId="39EAFF3F" w14:textId="77777777" w:rsidR="00745A4F" w:rsidRDefault="00DE1506">
                            <w:pPr>
                              <w:jc w:val="right"/>
                              <w:textDirection w:val="btLr"/>
                            </w:pPr>
                            <w:r>
                              <w:rPr>
                                <w:rFonts w:ascii="Century" w:eastAsia="Century" w:hAnsi="Century" w:cs="Century"/>
                                <w:sz w:val="22"/>
                              </w:rPr>
                              <w:t>Albuquerque, NM 87114</w:t>
                            </w:r>
                          </w:p>
                          <w:p w14:paraId="489209E2" w14:textId="77777777" w:rsidR="00745A4F" w:rsidRDefault="00DE1506">
                            <w:pPr>
                              <w:jc w:val="right"/>
                              <w:textDirection w:val="btLr"/>
                            </w:pPr>
                            <w:r>
                              <w:rPr>
                                <w:rFonts w:ascii="Century" w:eastAsia="Century" w:hAnsi="Century" w:cs="Century"/>
                                <w:sz w:val="22"/>
                              </w:rPr>
                              <w:t>505.898.7334</w:t>
                            </w:r>
                          </w:p>
                          <w:p w14:paraId="75992F64" w14:textId="77777777" w:rsidR="00745A4F" w:rsidRDefault="00DE1506">
                            <w:pPr>
                              <w:jc w:val="right"/>
                              <w:textDirection w:val="btLr"/>
                            </w:pPr>
                            <w:r>
                              <w:rPr>
                                <w:rFonts w:ascii="Century" w:eastAsia="Century" w:hAnsi="Century" w:cs="Century"/>
                                <w:sz w:val="22"/>
                              </w:rPr>
                              <w:t>505.898.5534 fax</w:t>
                            </w:r>
                          </w:p>
                          <w:p w14:paraId="672A6659" w14:textId="77777777" w:rsidR="00745A4F" w:rsidRDefault="00745A4F">
                            <w:pPr>
                              <w:jc w:val="right"/>
                              <w:textDirection w:val="btLr"/>
                            </w:pPr>
                          </w:p>
                          <w:p w14:paraId="0A37501D" w14:textId="77777777" w:rsidR="00745A4F" w:rsidRDefault="00745A4F">
                            <w:pPr>
                              <w:jc w:val="right"/>
                              <w:textDirection w:val="btLr"/>
                            </w:pPr>
                          </w:p>
                          <w:p w14:paraId="5DAB6C7B" w14:textId="77777777" w:rsidR="00745A4F" w:rsidRDefault="00745A4F">
                            <w:pPr>
                              <w:jc w:val="right"/>
                              <w:textDirection w:val="btLr"/>
                            </w:pPr>
                          </w:p>
                          <w:p w14:paraId="02EB378F" w14:textId="77777777" w:rsidR="00745A4F" w:rsidRDefault="00745A4F">
                            <w:pPr>
                              <w:textDirection w:val="btLr"/>
                            </w:pPr>
                          </w:p>
                        </w:txbxContent>
                      </wps:txbx>
                      <wps:bodyPr lIns="91425" tIns="45700" rIns="91425" bIns="45700" anchor="t" anchorCtr="0"/>
                    </wps:wsp>
                  </a:graphicData>
                </a:graphic>
              </wp:anchor>
            </w:drawing>
          </mc:Choice>
          <mc:Fallback>
            <w:pict>
              <v:rect w14:anchorId="02A87D08" id="Rectangle 2" o:spid="_x0000_s1026" style="position:absolute;margin-left:392pt;margin-top:5pt;width:184pt;height:84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" stroked="f">
                <v:textbox inset="2.53958mm,1.2694mm,2.53958mm,1.2694mm">
                  <w:txbxContent>
                    <w:p w14:paraId="51D8D93C" w14:textId="77777777" w:rsidR="00745A4F" w:rsidRDefault="00DE1506">
                      <w:pPr>
                        <w:jc w:val="right"/>
                        <w:textDirection w:val="btLr"/>
                      </w:pPr>
                      <w:r>
                        <w:rPr>
                          <w:rFonts w:ascii="Century" w:eastAsia="Century" w:hAnsi="Century" w:cs="Century"/>
                          <w:sz w:val="22"/>
                        </w:rPr>
                        <w:t>4487 Irving Blvd NW</w:t>
                      </w:r>
                    </w:p>
                    <w:p w14:paraId="39EAFF3F" w14:textId="77777777" w:rsidR="00745A4F" w:rsidRDefault="00DE1506">
                      <w:pPr>
                        <w:jc w:val="right"/>
                        <w:textDirection w:val="btLr"/>
                      </w:pPr>
                      <w:r>
                        <w:rPr>
                          <w:rFonts w:ascii="Century" w:eastAsia="Century" w:hAnsi="Century" w:cs="Century"/>
                          <w:sz w:val="22"/>
                        </w:rPr>
                        <w:t>Albuquerque, NM 87114</w:t>
                      </w:r>
                    </w:p>
                    <w:p w14:paraId="489209E2" w14:textId="77777777" w:rsidR="00745A4F" w:rsidRDefault="00DE1506">
                      <w:pPr>
                        <w:jc w:val="right"/>
                        <w:textDirection w:val="btLr"/>
                      </w:pPr>
                      <w:r>
                        <w:rPr>
                          <w:rFonts w:ascii="Century" w:eastAsia="Century" w:hAnsi="Century" w:cs="Century"/>
                          <w:sz w:val="22"/>
                        </w:rPr>
                        <w:t>505.898.7334</w:t>
                      </w:r>
                    </w:p>
                    <w:p w14:paraId="75992F64" w14:textId="77777777" w:rsidR="00745A4F" w:rsidRDefault="00DE1506">
                      <w:pPr>
                        <w:jc w:val="right"/>
                        <w:textDirection w:val="btLr"/>
                      </w:pPr>
                      <w:r>
                        <w:rPr>
                          <w:rFonts w:ascii="Century" w:eastAsia="Century" w:hAnsi="Century" w:cs="Century"/>
                          <w:sz w:val="22"/>
                        </w:rPr>
                        <w:t>505.898.5534 fax</w:t>
                      </w:r>
                    </w:p>
                    <w:p w14:paraId="672A6659" w14:textId="77777777" w:rsidR="00745A4F" w:rsidRDefault="00745A4F">
                      <w:pPr>
                        <w:jc w:val="right"/>
                        <w:textDirection w:val="btLr"/>
                      </w:pPr>
                    </w:p>
                    <w:p w14:paraId="0A37501D" w14:textId="77777777" w:rsidR="00745A4F" w:rsidRDefault="00745A4F">
                      <w:pPr>
                        <w:jc w:val="right"/>
                        <w:textDirection w:val="btLr"/>
                      </w:pPr>
                    </w:p>
                    <w:p w14:paraId="5DAB6C7B" w14:textId="77777777" w:rsidR="00745A4F" w:rsidRDefault="00745A4F">
                      <w:pPr>
                        <w:jc w:val="right"/>
                        <w:textDirection w:val="btLr"/>
                      </w:pPr>
                    </w:p>
                    <w:p w14:paraId="02EB378F" w14:textId="77777777" w:rsidR="00745A4F" w:rsidRDefault="00745A4F">
                      <w:pPr>
                        <w:textDirection w:val="btLr"/>
                      </w:pPr>
                    </w:p>
                  </w:txbxContent>
                </v:textbox>
                <w10:wrap anchorx="margin"/>
              </v:rect>
            </w:pict>
          </mc:Fallback>
        </mc:AlternateContent>
      </w:r>
      <w:r>
        <w:rPr>
          <w:noProof/>
        </w:rPr>
        <w:drawing>
          <wp:anchor distT="0" distB="0" distL="114300" distR="114300" simplePos="0" relativeHeight="251659264" behindDoc="0" locked="0" layoutInCell="1" hidden="0" allowOverlap="1" wp14:anchorId="71CF50D0" wp14:editId="07777777">
            <wp:simplePos x="0" y="0"/>
            <wp:positionH relativeFrom="margin">
              <wp:posOffset>-19048</wp:posOffset>
            </wp:positionH>
            <wp:positionV relativeFrom="paragraph">
              <wp:posOffset>38100</wp:posOffset>
            </wp:positionV>
            <wp:extent cx="1238250" cy="994410"/>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a:srcRect/>
                    <a:stretch>
                      <a:fillRect/>
                    </a:stretch>
                  </pic:blipFill>
                  <pic:spPr>
                    <a:xfrm>
                      <a:off x="0" y="0"/>
                      <a:ext cx="1238250" cy="994410"/>
                    </a:xfrm>
                    <a:prstGeom prst="rect">
                      <a:avLst/>
                    </a:prstGeom>
                    <a:ln/>
                  </pic:spPr>
                </pic:pic>
              </a:graphicData>
            </a:graphic>
          </wp:anchor>
        </w:drawing>
      </w:r>
    </w:p>
    <w:p w14:paraId="0D0B940D" w14:textId="77777777" w:rsidR="00745A4F" w:rsidRDefault="00745A4F"/>
    <w:p w14:paraId="0E27B00A" w14:textId="77777777" w:rsidR="00745A4F" w:rsidRDefault="00745A4F"/>
    <w:p w14:paraId="60061E4C" w14:textId="77777777" w:rsidR="00745A4F" w:rsidRDefault="00745A4F"/>
    <w:p w14:paraId="44EAFD9C" w14:textId="77777777" w:rsidR="00745A4F" w:rsidRDefault="00745A4F"/>
    <w:p w14:paraId="4B94D5A5" w14:textId="77777777" w:rsidR="00745A4F" w:rsidRDefault="00745A4F"/>
    <w:p w14:paraId="3DEEC669" w14:textId="77777777" w:rsidR="00745A4F" w:rsidRDefault="00745A4F"/>
    <w:p w14:paraId="3656B9AB" w14:textId="77777777" w:rsidR="00745A4F" w:rsidRDefault="00745A4F"/>
    <w:p w14:paraId="45FB0818" w14:textId="77777777" w:rsidR="00745A4F" w:rsidRDefault="00745A4F"/>
    <w:p w14:paraId="049F31CB" w14:textId="77777777" w:rsidR="00745A4F" w:rsidRDefault="00745A4F">
      <w:pPr>
        <w:ind w:left="630"/>
      </w:pPr>
    </w:p>
    <w:p w14:paraId="53128261" w14:textId="77777777" w:rsidR="00745A4F" w:rsidRDefault="00745A4F">
      <w:pPr>
        <w:ind w:left="630"/>
      </w:pPr>
    </w:p>
    <w:p w14:paraId="5693003A" w14:textId="77777777" w:rsidR="00745A4F" w:rsidRDefault="00DE1506">
      <w:pPr>
        <w:ind w:left="630"/>
      </w:pPr>
      <w:r>
        <w:t>Dear Valued Business Owner,</w:t>
      </w:r>
    </w:p>
    <w:p w14:paraId="62486C05" w14:textId="77777777" w:rsidR="00745A4F" w:rsidRDefault="00745A4F">
      <w:pPr>
        <w:ind w:left="630"/>
      </w:pPr>
    </w:p>
    <w:p w14:paraId="4101652C" w14:textId="77777777" w:rsidR="00745A4F" w:rsidRDefault="00745A4F">
      <w:pPr>
        <w:ind w:left="630"/>
      </w:pPr>
    </w:p>
    <w:p w14:paraId="22915B7D" w14:textId="3A97B4E1" w:rsidR="00745A4F" w:rsidRDefault="19D71BB7" w:rsidP="00D13371">
      <w:pPr>
        <w:ind w:left="630"/>
        <w:jc w:val="both"/>
      </w:pPr>
      <w:bookmarkStart w:id="0" w:name="_Hlk73644291"/>
      <w:r>
        <w:t>I am currently a gymnast at G-Force Gymnastics Academy</w:t>
      </w:r>
      <w:r w:rsidR="00F81E4B">
        <w:t xml:space="preserve">. Gymnastics training is </w:t>
      </w:r>
      <w:r w:rsidR="006B5EFC">
        <w:t>year-round,</w:t>
      </w:r>
      <w:r w:rsidR="00F81E4B">
        <w:t xml:space="preserve"> </w:t>
      </w:r>
      <w:r>
        <w:t>and</w:t>
      </w:r>
      <w:r w:rsidR="006B5EFC">
        <w:t xml:space="preserve"> I</w:t>
      </w:r>
      <w:r>
        <w:t xml:space="preserve"> am getting ready </w:t>
      </w:r>
      <w:r w:rsidR="00057055">
        <w:t>for</w:t>
      </w:r>
      <w:r>
        <w:t xml:space="preserve"> the</w:t>
      </w:r>
      <w:r w:rsidR="00F81E4B">
        <w:t xml:space="preserve"> next</w:t>
      </w:r>
      <w:r>
        <w:t xml:space="preserve"> competitive season</w:t>
      </w:r>
      <w:r w:rsidR="00F81E4B">
        <w:t xml:space="preserve"> </w:t>
      </w:r>
      <w:r w:rsidR="00057055">
        <w:t>which</w:t>
      </w:r>
      <w:r>
        <w:t xml:space="preserve"> </w:t>
      </w:r>
      <w:r w:rsidR="00F81E4B">
        <w:t>includ</w:t>
      </w:r>
      <w:r w:rsidR="00057055">
        <w:t>es</w:t>
      </w:r>
      <w:r w:rsidR="00F81E4B">
        <w:t xml:space="preserve"> </w:t>
      </w:r>
      <w:r>
        <w:t xml:space="preserve">a tough summer of pre-season training. </w:t>
      </w:r>
      <w:bookmarkEnd w:id="0"/>
      <w:r>
        <w:t>The athletes are fundraising for the 20</w:t>
      </w:r>
      <w:r w:rsidR="00866BED">
        <w:t>2</w:t>
      </w:r>
      <w:r w:rsidR="004C0286">
        <w:t>2</w:t>
      </w:r>
      <w:r>
        <w:t>-20</w:t>
      </w:r>
      <w:r w:rsidR="004F0757">
        <w:t>2</w:t>
      </w:r>
      <w:r w:rsidR="004C0286">
        <w:t>3</w:t>
      </w:r>
      <w:r>
        <w:t xml:space="preserve"> competitive season and are reaching out to local businesses that may be interested in advertising their business while sponsoring a gymnast. Our parent Booster Association compiles a Year Book that features the businesses supporting these local gymnasts.  Each gymnast will receive 100% of the contribution from the sponsor and the sponsor will receive a tax-deductible advertisement. The advertising comes in the form of a full-page in the Year Book, their logo on our banner hung in the gym and mention on our meet score cards (the cost is $100 for a full page and $50 for a half-page ad). Each team athlete will receive a copy of the Year Book to share with their family and copies are available inside the gym to view.</w:t>
      </w:r>
    </w:p>
    <w:p w14:paraId="1E0EE9E2" w14:textId="48464197" w:rsidR="00745A4F" w:rsidRDefault="00745A4F" w:rsidP="00D13371">
      <w:pPr>
        <w:ind w:left="630"/>
        <w:jc w:val="both"/>
      </w:pPr>
    </w:p>
    <w:p w14:paraId="4B99056E" w14:textId="1EEB9052" w:rsidR="00745A4F" w:rsidRDefault="19D71BB7" w:rsidP="00D13371">
      <w:pPr>
        <w:ind w:left="630"/>
        <w:jc w:val="both"/>
      </w:pPr>
      <w:r>
        <w:t xml:space="preserve">The Advertising will be seen by over </w:t>
      </w:r>
      <w:r w:rsidR="00D13371">
        <w:t>~</w:t>
      </w:r>
      <w:r>
        <w:t xml:space="preserve">600 families across Albuquerque and the state of New Mexico at our home gymnastics meet and will be shared with all of the families that are current members of our gym. </w:t>
      </w:r>
    </w:p>
    <w:p w14:paraId="246270D5" w14:textId="02269296" w:rsidR="00745A4F" w:rsidRDefault="19D71BB7" w:rsidP="00D13371">
      <w:pPr>
        <w:ind w:left="630"/>
        <w:jc w:val="both"/>
      </w:pPr>
      <w:r>
        <w:t xml:space="preserve">As we all know, there are many lessons learned by children and adolescents involved in competitive athletics that go beyond the specific sport they are training.  Athletes tend to have higher grade point averages, higher graduation rates, and lower chances to become involved with alcohol or drugs. We would love to feature your business as a business that supports the life lessons that are learned through athletics.  </w:t>
      </w:r>
    </w:p>
    <w:p w14:paraId="4DDBEF00" w14:textId="77777777" w:rsidR="00745A4F" w:rsidRDefault="00745A4F" w:rsidP="00D13371">
      <w:pPr>
        <w:ind w:left="630"/>
        <w:jc w:val="both"/>
      </w:pPr>
    </w:p>
    <w:p w14:paraId="6BDC911D" w14:textId="1403F6AF" w:rsidR="00745A4F" w:rsidRDefault="19D71BB7" w:rsidP="00D13371">
      <w:pPr>
        <w:ind w:left="630"/>
        <w:jc w:val="both"/>
      </w:pPr>
      <w:r>
        <w:t xml:space="preserve">Thank you so much for your willingness and consideration to sponsor me and my athletic endeavors! </w:t>
      </w:r>
      <w:r w:rsidR="00057055">
        <w:t>Your tax</w:t>
      </w:r>
      <w:r>
        <w:t>-deductible donation is greatly appreciated.</w:t>
      </w:r>
    </w:p>
    <w:p w14:paraId="3461D779" w14:textId="77777777" w:rsidR="00745A4F" w:rsidRDefault="00745A4F" w:rsidP="00D13371">
      <w:pPr>
        <w:ind w:left="630"/>
        <w:jc w:val="both"/>
      </w:pPr>
    </w:p>
    <w:p w14:paraId="26B66CAA" w14:textId="20A5FA84" w:rsidR="00745A4F" w:rsidRDefault="19D71BB7" w:rsidP="00D13371">
      <w:pPr>
        <w:ind w:left="630"/>
        <w:jc w:val="both"/>
      </w:pPr>
      <w:r>
        <w:t>Please make sponsorship checks out to:  DDBAI – Desert Diamonds Booster Association Inc. Please provide the name of the athlete you are sponsoring and your e-mail address on the memo line of your check, so upon receipt of your payment, DDBAI can e-mail you your tax receipt and we can direct the funds to the appropriate athlete.</w:t>
      </w:r>
    </w:p>
    <w:p w14:paraId="3CF2D8B6" w14:textId="77777777" w:rsidR="00745A4F" w:rsidRDefault="00745A4F">
      <w:pPr>
        <w:ind w:left="630"/>
      </w:pPr>
    </w:p>
    <w:p w14:paraId="0FB78278" w14:textId="77777777" w:rsidR="00745A4F" w:rsidRDefault="00745A4F">
      <w:pPr>
        <w:ind w:left="630"/>
      </w:pPr>
    </w:p>
    <w:p w14:paraId="1FC39945" w14:textId="77777777" w:rsidR="00745A4F" w:rsidRDefault="00745A4F">
      <w:pPr>
        <w:ind w:left="630"/>
      </w:pPr>
    </w:p>
    <w:p w14:paraId="6CD3CCDF" w14:textId="77777777" w:rsidR="00745A4F" w:rsidRDefault="00DE1506">
      <w:r>
        <w:t xml:space="preserve"> </w:t>
      </w:r>
      <w:r>
        <w:tab/>
        <w:t xml:space="preserve">Sincerely, </w:t>
      </w:r>
    </w:p>
    <w:p w14:paraId="0562CB0E" w14:textId="77777777" w:rsidR="00745A4F" w:rsidRDefault="00745A4F">
      <w:pPr>
        <w:ind w:left="630"/>
      </w:pPr>
    </w:p>
    <w:p w14:paraId="34CE0A41" w14:textId="77777777" w:rsidR="00745A4F" w:rsidRDefault="00745A4F">
      <w:pPr>
        <w:ind w:left="630"/>
      </w:pPr>
    </w:p>
    <w:p w14:paraId="62EBF3C5" w14:textId="77777777" w:rsidR="00745A4F" w:rsidRDefault="00745A4F">
      <w:pPr>
        <w:ind w:left="630"/>
      </w:pPr>
    </w:p>
    <w:p w14:paraId="6D98A12B" w14:textId="77777777" w:rsidR="00745A4F" w:rsidRDefault="00745A4F">
      <w:pPr>
        <w:rPr>
          <w:rFonts w:ascii="Times" w:eastAsia="Times" w:hAnsi="Times" w:cs="Times"/>
        </w:rPr>
      </w:pPr>
    </w:p>
    <w:p w14:paraId="12243240" w14:textId="77777777" w:rsidR="00745A4F" w:rsidRDefault="00DE1506">
      <w:pPr>
        <w:ind w:left="630"/>
        <w:rPr>
          <w:sz w:val="28"/>
          <w:szCs w:val="28"/>
        </w:rPr>
      </w:pPr>
      <w:r>
        <w:rPr>
          <w:rFonts w:ascii="Courgette" w:eastAsia="Courgette" w:hAnsi="Courgette" w:cs="Courgette"/>
          <w:i/>
          <w:sz w:val="36"/>
          <w:szCs w:val="36"/>
        </w:rPr>
        <w:t>G-Force Team Athlete</w:t>
      </w:r>
    </w:p>
    <w:p w14:paraId="2946DB82" w14:textId="77777777" w:rsidR="00745A4F" w:rsidRDefault="00745A4F">
      <w:pPr>
        <w:ind w:left="1440"/>
      </w:pPr>
    </w:p>
    <w:sectPr w:rsidR="00745A4F">
      <w:pgSz w:w="12240" w:h="15840"/>
      <w:pgMar w:top="245" w:right="720" w:bottom="662" w:left="36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ourgette">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A4F"/>
    <w:rsid w:val="00057055"/>
    <w:rsid w:val="00067DC6"/>
    <w:rsid w:val="004C0286"/>
    <w:rsid w:val="004F0757"/>
    <w:rsid w:val="006B5EFC"/>
    <w:rsid w:val="00745A4F"/>
    <w:rsid w:val="00866BED"/>
    <w:rsid w:val="00B31517"/>
    <w:rsid w:val="00BA0483"/>
    <w:rsid w:val="00C52425"/>
    <w:rsid w:val="00D13371"/>
    <w:rsid w:val="00DE1506"/>
    <w:rsid w:val="00F81E4B"/>
    <w:rsid w:val="19D71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6FA94"/>
  <w15:docId w15:val="{02EAB760-65C1-41A3-B998-B96D87D3C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Mulder</dc:creator>
  <cp:lastModifiedBy>Tracy Valdez</cp:lastModifiedBy>
  <cp:revision>2</cp:revision>
  <dcterms:created xsi:type="dcterms:W3CDTF">2022-06-15T17:29:00Z</dcterms:created>
  <dcterms:modified xsi:type="dcterms:W3CDTF">2022-06-15T17:29:00Z</dcterms:modified>
</cp:coreProperties>
</file>